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0D17A1"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 xml:space="preserve"> </w:t>
            </w:r>
            <w:r>
              <w:rPr>
                <w:rFonts w:ascii="한컴바탕" w:eastAsia="굴림" w:hAnsi="굴림" w:cs="굴림"/>
                <w:color w:val="262626"/>
                <w:w w:val="95"/>
                <w:kern w:val="0"/>
                <w:sz w:val="22"/>
              </w:rPr>
              <w:t>(Major Field, Detailed Keywords)</w:t>
            </w: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0E" w:rsidRDefault="00BD080E" w:rsidP="00F8638B">
      <w:pPr>
        <w:spacing w:after="0" w:line="240" w:lineRule="auto"/>
      </w:pPr>
      <w:r>
        <w:separator/>
      </w:r>
    </w:p>
  </w:endnote>
  <w:endnote w:type="continuationSeparator" w:id="0">
    <w:p w:rsidR="00BD080E" w:rsidRDefault="00BD080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0E" w:rsidRDefault="00BD080E" w:rsidP="00F8638B">
      <w:pPr>
        <w:spacing w:after="0" w:line="240" w:lineRule="auto"/>
      </w:pPr>
      <w:r>
        <w:separator/>
      </w:r>
    </w:p>
  </w:footnote>
  <w:footnote w:type="continuationSeparator" w:id="0">
    <w:p w:rsidR="00BD080E" w:rsidRDefault="00BD080E"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36D4F"/>
    <w:rsid w:val="000D17A1"/>
    <w:rsid w:val="000F36B0"/>
    <w:rsid w:val="00287DD6"/>
    <w:rsid w:val="00294E0C"/>
    <w:rsid w:val="00650926"/>
    <w:rsid w:val="0088561F"/>
    <w:rsid w:val="00915D7C"/>
    <w:rsid w:val="0092196E"/>
    <w:rsid w:val="009C1288"/>
    <w:rsid w:val="00AC1958"/>
    <w:rsid w:val="00AD487C"/>
    <w:rsid w:val="00B82DC5"/>
    <w:rsid w:val="00BB523F"/>
    <w:rsid w:val="00BD080E"/>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16576"/>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910C-FFFF-492C-91AB-3CEAC3E8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704</Words>
  <Characters>4018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7</cp:revision>
  <dcterms:created xsi:type="dcterms:W3CDTF">2021-01-14T00:58:00Z</dcterms:created>
  <dcterms:modified xsi:type="dcterms:W3CDTF">2021-01-14T01:14:00Z</dcterms:modified>
</cp:coreProperties>
</file>